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701C6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20BE8679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21C594D5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7D2E719D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0893AA9C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194F524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4EE6125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葑溪片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项目建设单位为苏州市姑苏区住房保障和物业管理中心，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苏州现代建设咨询管理有限公司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54464E7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建设内容:该项目改造涉及姑苏区双塔街道后庄80号、后庄 12号、后庄4号、10号、葑门路 296、298号、桑蚕地小区、葑门路108号、葑门路150号、葑门路128号、永德里等小区及周边区域，共涉及约33栋房屋，1355户居民，建筑面积约101360平方米。改造内容包括住宅、市政、绿化及公共基础设施的整治提升等。该项目计划总投资约10134.16万元。</w:t>
      </w:r>
    </w:p>
    <w:p w14:paraId="07CF15B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2024年申请江苏省政府专项债券4000万元，截至2024年12月已全部支付完毕。专项债券主要用于工程施工建设。</w:t>
      </w:r>
    </w:p>
    <w:p w14:paraId="3EEBAEA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34CD888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葑溪片屋面、楼道、立面、管线、绿化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及小区出入口进行整治，同时修剪小区内高大树木，改善小区环境，为居民群众创造良好的生活环境，提升城市形象。</w:t>
      </w:r>
    </w:p>
    <w:p w14:paraId="11864CC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阶段性目标：逐步推进姑苏区老旧小区改造，稳步提升城市形象。计划2025年6月全部竣工验收。</w:t>
      </w:r>
    </w:p>
    <w:p w14:paraId="1B487CAA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7609130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5197982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39725B0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17549DFF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2B78C55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1AEAA15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4A38EFF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3AB2F00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葑溪片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专项债券资金于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41677D1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葑溪片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整治项目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8月开始建设，计划2025年6月全部竣工验收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51CA7F41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5060586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450CFBD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479035C"/>
    <w:rsid w:val="066C1F3A"/>
    <w:rsid w:val="0CBA2505"/>
    <w:rsid w:val="10376C1E"/>
    <w:rsid w:val="13C46A1B"/>
    <w:rsid w:val="19F16090"/>
    <w:rsid w:val="20A756FA"/>
    <w:rsid w:val="23E34C9B"/>
    <w:rsid w:val="256E4A38"/>
    <w:rsid w:val="26413EFB"/>
    <w:rsid w:val="270C4509"/>
    <w:rsid w:val="2A5003C9"/>
    <w:rsid w:val="2E921798"/>
    <w:rsid w:val="331217FF"/>
    <w:rsid w:val="390D6769"/>
    <w:rsid w:val="3A8B1791"/>
    <w:rsid w:val="3D031AB2"/>
    <w:rsid w:val="42F9198D"/>
    <w:rsid w:val="47C6205A"/>
    <w:rsid w:val="4C4874E2"/>
    <w:rsid w:val="51E25CE3"/>
    <w:rsid w:val="54B3675D"/>
    <w:rsid w:val="550073C0"/>
    <w:rsid w:val="56A95021"/>
    <w:rsid w:val="5A8414A1"/>
    <w:rsid w:val="5C4E1BEB"/>
    <w:rsid w:val="62F85366"/>
    <w:rsid w:val="63CC1360"/>
    <w:rsid w:val="684F1853"/>
    <w:rsid w:val="6B7C455F"/>
    <w:rsid w:val="7144488E"/>
    <w:rsid w:val="715F2A54"/>
    <w:rsid w:val="769136B0"/>
    <w:rsid w:val="79653A37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976</Words>
  <Characters>1028</Characters>
  <Lines>13</Lines>
  <Paragraphs>3</Paragraphs>
  <TotalTime>10</TotalTime>
  <ScaleCrop>false</ScaleCrop>
  <LinksUpToDate>false</LinksUpToDate>
  <CharactersWithSpaces>1028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2025-06-25T07:41:36Z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2DA1395D013F41BEB5667C87046B0005_13</vt:lpwstr>
  </property>
  <property fmtid="{D5CDD505-2E9C-101B-9397-08002B2CF9AE}" pid="7" name="KSOTemplateDocerSaveRecord">
    <vt:lpwstr>eyJoZGlkIjoiNTZmN2Q4Nzk2N2NmZjc5YzJhNmZmNDExZDYwNzNiMmIiLCJ1c2VySWQiOiIyNjg3MTAwOTUifQ==</vt:lpwstr>
  </property>
</Properties>
</file>