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bookmarkStart w:id="0" w:name="_GoBack"/>
      <w:bookmarkEnd w:id="0"/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F1D0D6E">
      <w:pPr>
        <w:ind w:firstLine="640"/>
        <w:jc w:val="left"/>
      </w:pPr>
      <w:r>
        <w:rPr>
          <w:rFonts w:hint="eastAsia"/>
        </w:rPr>
        <w:t>丁逸新：局长</w:t>
      </w:r>
    </w:p>
    <w:p w14:paraId="3E9A1D69">
      <w:pPr>
        <w:ind w:firstLine="640"/>
        <w:jc w:val="lef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主</w:t>
      </w:r>
      <w:r>
        <w:rPr>
          <w:rFonts w:hAnsi="仿宋_GB2312" w:cs="仿宋_GB2312"/>
          <w:szCs w:val="32"/>
        </w:rPr>
        <w:t>持局行政全面工作，</w:t>
      </w:r>
      <w:r>
        <w:rPr>
          <w:rFonts w:hint="eastAsia" w:hAnsi="仿宋_GB2312" w:cs="仿宋_GB2312"/>
          <w:szCs w:val="32"/>
        </w:rPr>
        <w:t>负责财务审计、大气环境管理、水生态环境管理、太湖水污染防治、土壤环境管理、环境影响评价与排放管理工作。</w:t>
      </w:r>
    </w:p>
    <w:p w14:paraId="0471E65C">
      <w:pPr>
        <w:ind w:firstLine="640"/>
        <w:jc w:val="left"/>
      </w:pPr>
      <w:r>
        <w:rPr>
          <w:rFonts w:hint="eastAsia"/>
        </w:rPr>
        <w:t>分管综合业务科。</w:t>
      </w:r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9854495"/>
    <w:rsid w:val="0A935B65"/>
    <w:rsid w:val="0AF52938"/>
    <w:rsid w:val="14C33AB5"/>
    <w:rsid w:val="151C17D3"/>
    <w:rsid w:val="1C794508"/>
    <w:rsid w:val="1D5C4016"/>
    <w:rsid w:val="355E15D6"/>
    <w:rsid w:val="41502F3F"/>
    <w:rsid w:val="492B50F4"/>
    <w:rsid w:val="4D9810B2"/>
    <w:rsid w:val="5AE62301"/>
    <w:rsid w:val="649E6971"/>
    <w:rsid w:val="6E2B5B19"/>
    <w:rsid w:val="6FF2642A"/>
    <w:rsid w:val="713271A6"/>
    <w:rsid w:val="79520AB6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2025-03-24T07:54:45Z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210D0F3F95E445A98BCB49AB861FB4FC_13</vt:lpwstr>
  </property>
</Properties>
</file>