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bookmarkStart w:id="0" w:name="_GoBack"/>
      <w:bookmarkEnd w:id="0"/>
      <w:r>
        <w:rPr>
          <w:rFonts w:hint="eastAsia"/>
          <w:lang w:val="en-US" w:eastAsia="zh-CN"/>
        </w:rPr>
        <w:t>9日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5528AED7">
      <w:pPr>
        <w:ind w:firstLine="640"/>
        <w:jc w:val="left"/>
      </w:pPr>
      <w:r>
        <w:rPr>
          <w:rFonts w:hint="eastAsia"/>
        </w:rPr>
        <w:t>刘德全：副局长</w:t>
      </w:r>
    </w:p>
    <w:p w14:paraId="3A047BAB">
      <w:pPr>
        <w:ind w:firstLine="640"/>
        <w:jc w:val="left"/>
      </w:pPr>
      <w:r>
        <w:rPr>
          <w:rFonts w:hint="eastAsia" w:hAnsi="仿宋_GB2312" w:cs="仿宋_GB2312"/>
          <w:szCs w:val="32"/>
        </w:rPr>
        <w:t>负责组织开展生态环境保护年度目标考核、法制建设、自然生态保护、生态文明建设、环境信息与电子政务、清洁生产工作；负责生态环境执法、环境信访、环境监测、环境应急、环境安全、工业固体（危险）废物管理、核与辐射安全管理工作；负责姑苏区打好污染防治攻坚战指挥部办公室日常工作。分管生态环境综合行政执法局，协助蔡尚志同志开展党务、保密、政务公开、档案管理等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11D5029"/>
    <w:rsid w:val="088A5DF8"/>
    <w:rsid w:val="09854495"/>
    <w:rsid w:val="0AF52938"/>
    <w:rsid w:val="0BAA7014"/>
    <w:rsid w:val="1C794508"/>
    <w:rsid w:val="2A225B7B"/>
    <w:rsid w:val="2F473A87"/>
    <w:rsid w:val="30167CFA"/>
    <w:rsid w:val="341B50F6"/>
    <w:rsid w:val="3AB34339"/>
    <w:rsid w:val="492B50F4"/>
    <w:rsid w:val="51DB43E6"/>
    <w:rsid w:val="56AC4FF2"/>
    <w:rsid w:val="5AE62301"/>
    <w:rsid w:val="649E6971"/>
    <w:rsid w:val="68A345FD"/>
    <w:rsid w:val="6CBF09B4"/>
    <w:rsid w:val="6FF2642A"/>
    <w:rsid w:val="713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2026-01-23T05:50:53Z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224CCEAE42EC43B295CB3D7A9709E09A_13</vt:lpwstr>
  </property>
</Properties>
</file>