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0D25EF37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664F379F">
      <w:pPr>
        <w:ind w:firstLine="640"/>
        <w:jc w:val="left"/>
      </w:pP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252D0AA3"/>
    <w:rsid w:val="274D06DB"/>
    <w:rsid w:val="39D72EE2"/>
    <w:rsid w:val="446F6F84"/>
    <w:rsid w:val="492B50F4"/>
    <w:rsid w:val="4E2D26E0"/>
    <w:rsid w:val="5AE62301"/>
    <w:rsid w:val="5F2627A2"/>
    <w:rsid w:val="62E036A6"/>
    <w:rsid w:val="649E6971"/>
    <w:rsid w:val="69F62FC2"/>
    <w:rsid w:val="6FF2642A"/>
    <w:rsid w:val="713271A6"/>
    <w:rsid w:val="718F40F9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2026-02-24T08:49:12Z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BCE028F684F440A586DA804F5C78D4B3_13</vt:lpwstr>
  </property>
</Properties>
</file>