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5E26F">
      <w:pPr>
        <w:spacing w:line="560" w:lineRule="exact"/>
        <w:ind w:firstLine="1044"/>
        <w:jc w:val="center"/>
        <w:rPr>
          <w:rFonts w:ascii="宋体" w:hAnsi="宋体" w:eastAsia="宋体" w:cs="Times New Roman"/>
          <w:b/>
          <w:bCs/>
          <w:sz w:val="52"/>
          <w:szCs w:val="52"/>
        </w:rPr>
      </w:pPr>
      <w:r>
        <w:rPr>
          <w:rFonts w:ascii="宋体" w:hAnsi="宋体" w:eastAsia="宋体" w:cs="Times New Roman"/>
          <w:b/>
          <w:bCs/>
          <w:sz w:val="52"/>
          <w:szCs w:val="52"/>
        </w:rPr>
        <w:t>苏州市姑苏区人民政府</w:t>
      </w:r>
    </w:p>
    <w:p w14:paraId="6D2D33C1">
      <w:pPr>
        <w:spacing w:line="560" w:lineRule="exact"/>
        <w:ind w:firstLine="1044"/>
        <w:jc w:val="center"/>
        <w:rPr>
          <w:rFonts w:ascii="宋体" w:hAnsi="宋体" w:eastAsia="宋体" w:cs="Times New Roman"/>
          <w:b/>
          <w:bCs/>
          <w:sz w:val="52"/>
          <w:szCs w:val="52"/>
        </w:rPr>
      </w:pPr>
      <w:r>
        <w:rPr>
          <w:rFonts w:ascii="宋体" w:hAnsi="宋体" w:eastAsia="宋体" w:cs="Times New Roman"/>
          <w:b/>
          <w:bCs/>
          <w:sz w:val="52"/>
          <w:szCs w:val="52"/>
        </w:rPr>
        <w:t>行政复议决定书</w:t>
      </w:r>
    </w:p>
    <w:p w14:paraId="499566BF">
      <w:pPr>
        <w:spacing w:line="560" w:lineRule="exact"/>
        <w:jc w:val="right"/>
        <w:rPr>
          <w:rFonts w:ascii="仿宋" w:hAnsi="仿宋" w:eastAsia="仿宋" w:cs="仿宋"/>
          <w:sz w:val="32"/>
          <w:szCs w:val="32"/>
        </w:rPr>
      </w:pPr>
    </w:p>
    <w:p w14:paraId="0BF98FF7">
      <w:pPr>
        <w:spacing w:line="560" w:lineRule="exact"/>
        <w:ind w:firstLine="640" w:firstLineChars="200"/>
        <w:rPr>
          <w:rFonts w:hint="default" w:ascii="仿宋" w:hAnsi="仿宋" w:eastAsia="仿宋" w:cs="仿宋"/>
          <w:color w:val="FF0000"/>
          <w:sz w:val="32"/>
          <w:szCs w:val="32"/>
          <w:lang w:val="en-US" w:eastAsia="zh-CN"/>
        </w:rPr>
      </w:pPr>
      <w:r>
        <w:rPr>
          <w:rFonts w:hint="eastAsia" w:ascii="仿宋" w:hAnsi="仿宋" w:eastAsia="仿宋" w:cs="仿宋"/>
          <w:sz w:val="32"/>
          <w:szCs w:val="32"/>
        </w:rPr>
        <w:t>申请人</w:t>
      </w:r>
      <w:r>
        <w:rPr>
          <w:rFonts w:hint="eastAsia" w:ascii="仿宋" w:hAnsi="仿宋" w:eastAsia="仿宋" w:cs="仿宋"/>
          <w:sz w:val="32"/>
          <w:szCs w:val="32"/>
          <w:lang w:eastAsia="zh-CN"/>
        </w:rPr>
        <w:t>：</w:t>
      </w:r>
      <w:r>
        <w:rPr>
          <w:rFonts w:hint="eastAsia" w:ascii="仿宋" w:hAnsi="仿宋" w:eastAsia="仿宋" w:cs="仿宋"/>
          <w:sz w:val="32"/>
          <w:szCs w:val="32"/>
        </w:rPr>
        <w:t>李</w:t>
      </w:r>
      <w:r>
        <w:rPr>
          <w:rFonts w:hint="eastAsia" w:ascii="仿宋" w:hAnsi="仿宋" w:eastAsia="仿宋" w:cs="仿宋"/>
          <w:sz w:val="32"/>
          <w:szCs w:val="32"/>
          <w:lang w:val="en-US" w:eastAsia="zh-CN"/>
        </w:rPr>
        <w:t>某某</w:t>
      </w:r>
    </w:p>
    <w:p w14:paraId="2D587D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被申请人</w:t>
      </w:r>
      <w:r>
        <w:rPr>
          <w:rFonts w:hint="eastAsia" w:ascii="仿宋" w:hAnsi="仿宋" w:eastAsia="仿宋" w:cs="仿宋"/>
          <w:sz w:val="32"/>
          <w:szCs w:val="32"/>
          <w:lang w:eastAsia="zh-CN"/>
        </w:rPr>
        <w:t>：</w:t>
      </w:r>
      <w:r>
        <w:rPr>
          <w:rFonts w:hint="eastAsia" w:ascii="仿宋" w:hAnsi="仿宋" w:eastAsia="仿宋" w:cs="仿宋"/>
          <w:sz w:val="32"/>
          <w:szCs w:val="32"/>
        </w:rPr>
        <w:t>苏州市姑苏区市场监督管理局，</w:t>
      </w:r>
    </w:p>
    <w:p w14:paraId="5890744A">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申请人李</w:t>
      </w:r>
      <w:r>
        <w:rPr>
          <w:rFonts w:hint="eastAsia" w:ascii="仿宋" w:hAnsi="仿宋" w:eastAsia="仿宋" w:cs="仿宋"/>
          <w:sz w:val="32"/>
          <w:szCs w:val="32"/>
          <w:lang w:val="en-US" w:eastAsia="zh-CN"/>
        </w:rPr>
        <w:t>某某</w:t>
      </w:r>
      <w:r>
        <w:rPr>
          <w:rFonts w:hint="eastAsia" w:ascii="仿宋" w:hAnsi="仿宋" w:eastAsia="仿宋" w:cs="仿宋"/>
          <w:sz w:val="32"/>
          <w:szCs w:val="32"/>
        </w:rPr>
        <w:t>对被申请人苏州市姑苏区市场监督管理局就</w:t>
      </w:r>
      <w:r>
        <w:rPr>
          <w:rFonts w:hint="eastAsia" w:eastAsia="仿宋_GB2312"/>
          <w:sz w:val="32"/>
          <w:szCs w:val="32"/>
          <w:lang w:val="en-US" w:eastAsia="zh-CN"/>
        </w:rPr>
        <w:t>某超市</w:t>
      </w:r>
      <w:r>
        <w:rPr>
          <w:rFonts w:hint="eastAsia" w:ascii="仿宋" w:hAnsi="仿宋" w:eastAsia="仿宋" w:cs="仿宋"/>
          <w:sz w:val="32"/>
          <w:szCs w:val="32"/>
        </w:rPr>
        <w:t>的举报处理不服，于2025年3月17日向本机关申请行政复议。经审查，本机关依法予以受理，现已审理终结。</w:t>
      </w:r>
    </w:p>
    <w:p w14:paraId="7156757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申请人请求：一、请求依法撤销被申请人于2025年2月28日作出的“短信告知内容”中，针对申请人实名举报“</w:t>
      </w:r>
      <w:r>
        <w:rPr>
          <w:rFonts w:hint="eastAsia" w:ascii="仿宋" w:hAnsi="仿宋" w:eastAsia="仿宋" w:cs="仿宋"/>
          <w:sz w:val="32"/>
          <w:szCs w:val="32"/>
          <w:lang w:val="en-US" w:eastAsia="zh-CN"/>
        </w:rPr>
        <w:t>某</w:t>
      </w:r>
      <w:r>
        <w:rPr>
          <w:rFonts w:hint="eastAsia" w:ascii="仿宋" w:hAnsi="仿宋" w:eastAsia="仿宋" w:cs="仿宋"/>
          <w:sz w:val="32"/>
          <w:szCs w:val="32"/>
        </w:rPr>
        <w:t>超市”销售不符合法律规定食品一事，其所作出的不予立案决定;二、责令被申请人在规定期限内依法处理申请人的举报。</w:t>
      </w:r>
    </w:p>
    <w:p w14:paraId="45E10F36">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申请人称：2025年1月4日，申请人到</w:t>
      </w:r>
      <w:r>
        <w:rPr>
          <w:rFonts w:hint="eastAsia" w:ascii="仿宋" w:hAnsi="仿宋" w:eastAsia="仿宋" w:cs="仿宋"/>
          <w:sz w:val="32"/>
          <w:szCs w:val="32"/>
          <w:lang w:val="en-US" w:eastAsia="zh-CN"/>
        </w:rPr>
        <w:t>某</w:t>
      </w:r>
      <w:r>
        <w:rPr>
          <w:rFonts w:hint="eastAsia" w:ascii="仿宋" w:hAnsi="仿宋" w:eastAsia="仿宋" w:cs="仿宋"/>
          <w:sz w:val="32"/>
          <w:szCs w:val="32"/>
        </w:rPr>
        <w:t>超市购买了“双汇香脆肠”两个。申请人认为被申请人辖区内的“</w:t>
      </w:r>
      <w:r>
        <w:rPr>
          <w:rFonts w:hint="eastAsia" w:ascii="仿宋" w:hAnsi="仿宋" w:eastAsia="仿宋" w:cs="仿宋"/>
          <w:sz w:val="32"/>
          <w:szCs w:val="32"/>
          <w:lang w:val="en-US" w:eastAsia="zh-CN"/>
        </w:rPr>
        <w:t>某</w:t>
      </w:r>
      <w:r>
        <w:rPr>
          <w:rFonts w:hint="eastAsia" w:ascii="仿宋" w:hAnsi="仿宋" w:eastAsia="仿宋" w:cs="仿宋"/>
          <w:sz w:val="32"/>
          <w:szCs w:val="32"/>
        </w:rPr>
        <w:t>超市”存在违反相关法律规定的情形。申请人为维护自身的合法权益，请求行政机关处置加害人法律责任，收集民事权益救济的证据，并采用挂号信</w:t>
      </w:r>
      <w:r>
        <w:rPr>
          <w:rFonts w:hint="eastAsia" w:ascii="仿宋" w:hAnsi="仿宋" w:eastAsia="仿宋" w:cs="仿宋"/>
          <w:sz w:val="32"/>
          <w:szCs w:val="32"/>
          <w:lang w:val="en-US" w:eastAsia="zh-CN"/>
        </w:rPr>
        <w:t>函</w:t>
      </w:r>
      <w:r>
        <w:rPr>
          <w:rFonts w:hint="eastAsia" w:ascii="仿宋" w:hAnsi="仿宋" w:eastAsia="仿宋" w:cs="仿宋"/>
          <w:sz w:val="32"/>
          <w:szCs w:val="32"/>
        </w:rPr>
        <w:t>的方式向被申请人寄递了投诉举报书，后申请人收到被申请人通过短信所发送的“短信告知内容”。申请人对被申请人所作出的针对申请人举报“</w:t>
      </w:r>
      <w:r>
        <w:rPr>
          <w:rFonts w:hint="eastAsia" w:ascii="仿宋" w:hAnsi="仿宋" w:eastAsia="仿宋" w:cs="仿宋"/>
          <w:sz w:val="32"/>
          <w:szCs w:val="32"/>
          <w:lang w:eastAsia="zh-CN"/>
        </w:rPr>
        <w:t>某超市</w:t>
      </w:r>
      <w:r>
        <w:rPr>
          <w:rFonts w:hint="eastAsia" w:ascii="仿宋" w:hAnsi="仿宋" w:eastAsia="仿宋" w:cs="仿宋"/>
          <w:sz w:val="32"/>
          <w:szCs w:val="32"/>
        </w:rPr>
        <w:t>”举报不予立案的决定不服，遂提出行政复议申请。</w:t>
      </w:r>
    </w:p>
    <w:p w14:paraId="66B47D96">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申请人认为:一、申请人因购买到被投诉人“</w:t>
      </w:r>
      <w:r>
        <w:rPr>
          <w:rFonts w:hint="eastAsia" w:ascii="仿宋" w:hAnsi="仿宋" w:eastAsia="仿宋" w:cs="仿宋"/>
          <w:sz w:val="32"/>
          <w:szCs w:val="32"/>
          <w:lang w:eastAsia="zh-CN"/>
        </w:rPr>
        <w:t>某超市</w:t>
      </w:r>
      <w:r>
        <w:rPr>
          <w:rFonts w:hint="eastAsia" w:ascii="仿宋" w:hAnsi="仿宋" w:eastAsia="仿宋" w:cs="仿宋"/>
          <w:sz w:val="32"/>
          <w:szCs w:val="32"/>
        </w:rPr>
        <w:t>”所销售的不符合法律规定食品，后依法提交了产品实物图片、支付记录要求查处被举报人。本案被申请人在收到申请人的举报后，未能对当事人的违法行为进行立案、查处，故被申请人所作行政行为主要事实认定不清、证据不足。二、申请人提供了产品图片、支付记录。根据现有证据足以证明被举报人销售了超过保质期的食品给申请人，违反了相关法律规定，被申请人未能依法对其违法行为进行查处，于法无据。三、被申请人在初步收到申请人的投诉举报信后，曾向其调取身份证复印件、购物小票复印件、购物视频录像等相关证据，申请人认为法律没有赋予被申请人在处理申请人的举报时需要提供身份证复印件，且因申请人购物时被举报人未开具购物小票，因此被申请人在向申请人调取购物小票复印件没有事实基础，再者，根据《市场监督管理行政处罚程序规定》第十九条第一款所规定的应当依法立案的情形并不包含“需要提供购物视频录像”，因此申请人应当依法立案的情形与是否提交购物视频之</w:t>
      </w:r>
      <w:r>
        <w:rPr>
          <w:rFonts w:hint="eastAsia" w:ascii="仿宋" w:hAnsi="仿宋" w:eastAsia="仿宋" w:cs="仿宋"/>
          <w:sz w:val="32"/>
          <w:szCs w:val="32"/>
          <w:lang w:val="en-US" w:eastAsia="zh-CN"/>
        </w:rPr>
        <w:t>间</w:t>
      </w:r>
      <w:r>
        <w:rPr>
          <w:rFonts w:hint="eastAsia" w:ascii="仿宋" w:hAnsi="仿宋" w:eastAsia="仿宋" w:cs="仿宋"/>
          <w:sz w:val="32"/>
          <w:szCs w:val="32"/>
        </w:rPr>
        <w:t>不存在必然关联性。因此，申请人认为被申请人向申请人发送的限期提供证据通知书没有法律依据，但申请人仍愿意配合其依法行使行政权力，故申请人要求被申请人通过法定形式向其进行调查取证于法有据。四、申请人已初步提供证据证明被举报人销售超过保质期的食品上架销售，并销售给申请人造成危害后果。申请人所提供的证据形式上完全满足《市场监督管理行</w:t>
      </w:r>
      <w:r>
        <w:rPr>
          <w:rFonts w:hint="eastAsia" w:ascii="仿宋" w:hAnsi="仿宋" w:eastAsia="仿宋" w:cs="仿宋"/>
          <w:sz w:val="32"/>
          <w:szCs w:val="32"/>
          <w:lang w:val="en-US" w:eastAsia="zh-CN"/>
        </w:rPr>
        <w:t>政</w:t>
      </w:r>
      <w:r>
        <w:rPr>
          <w:rFonts w:hint="eastAsia" w:ascii="仿宋" w:hAnsi="仿宋" w:eastAsia="仿宋" w:cs="仿宋"/>
          <w:sz w:val="32"/>
          <w:szCs w:val="32"/>
        </w:rPr>
        <w:t>处罚程序规定》第十九条之规定，故本案应属于应当依法立案的情形。五、申请人不提供证据并不能免除被申请人证明其行政行为合法的义务，根据合理行政原则，被申请人应当依法对申请人的举报进行立案查处。六、被申请人所作不予立案决定，未依据《市场监督管理行政处罚程序规定》第二十条作出该行政行为，参照</w:t>
      </w:r>
      <w:bookmarkStart w:id="0" w:name="OLE_LINK1"/>
      <w:r>
        <w:rPr>
          <w:rFonts w:hint="eastAsia" w:ascii="仿宋" w:hAnsi="仿宋" w:eastAsia="仿宋" w:cs="仿宋"/>
          <w:sz w:val="32"/>
          <w:szCs w:val="32"/>
        </w:rPr>
        <w:t>最高人民法院第九批指导性案例41号</w:t>
      </w:r>
      <w:bookmarkEnd w:id="0"/>
      <w:r>
        <w:rPr>
          <w:rFonts w:hint="eastAsia" w:ascii="仿宋" w:hAnsi="仿宋" w:eastAsia="仿宋" w:cs="仿宋"/>
          <w:sz w:val="32"/>
          <w:szCs w:val="32"/>
        </w:rPr>
        <w:t>指出“行政机关作出具体行政行为时未引用具体法律条款，且在诉讼中不能证明该具体行政行为符合法律的具体规定，应当视为该具体行政行为没有法律依据，适用法律错误”的裁判要点，应当认定被申请人作出的举报不予立案没有法律依据，适用法律错误。综上，申请人认为被申请人所作行政行为主要事实认定不清、证据不足，适用法律错误，请求依法支持申请人的全部复议请求并书面查阅被申请人所作行政行为的全部证据、依据。</w:t>
      </w:r>
    </w:p>
    <w:p w14:paraId="63204DDB">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申请人提供的证据：1、短信告知截图；2、</w:t>
      </w:r>
      <w:bookmarkStart w:id="1" w:name="OLE_LINK2"/>
      <w:r>
        <w:rPr>
          <w:rFonts w:hint="eastAsia" w:ascii="仿宋" w:hAnsi="仿宋" w:eastAsia="仿宋" w:cs="仿宋"/>
          <w:sz w:val="32"/>
          <w:szCs w:val="32"/>
        </w:rPr>
        <w:t>投诉举报书；3、支付宝交易流水证明、账单</w:t>
      </w:r>
      <w:r>
        <w:rPr>
          <w:rFonts w:ascii="仿宋" w:hAnsi="仿宋" w:eastAsia="仿宋" w:cs="仿宋"/>
          <w:sz w:val="32"/>
          <w:szCs w:val="32"/>
        </w:rPr>
        <w:t>详情页截图、</w:t>
      </w:r>
      <w:r>
        <w:rPr>
          <w:rFonts w:hint="eastAsia" w:ascii="仿宋" w:hAnsi="仿宋" w:eastAsia="仿宋" w:cs="仿宋"/>
          <w:sz w:val="32"/>
          <w:szCs w:val="32"/>
        </w:rPr>
        <w:t>产品照片</w:t>
      </w:r>
      <w:bookmarkEnd w:id="1"/>
      <w:r>
        <w:rPr>
          <w:rFonts w:hint="eastAsia" w:ascii="仿宋" w:hAnsi="仿宋" w:eastAsia="仿宋" w:cs="仿宋"/>
          <w:sz w:val="32"/>
          <w:szCs w:val="32"/>
        </w:rPr>
        <w:t>。</w:t>
      </w:r>
    </w:p>
    <w:p w14:paraId="57467B7D">
      <w:pPr>
        <w:wordWrap w:val="0"/>
        <w:spacing w:line="560" w:lineRule="exact"/>
        <w:ind w:firstLine="640" w:firstLineChars="200"/>
        <w:rPr>
          <w:rFonts w:ascii="仿宋" w:hAnsi="仿宋" w:eastAsia="仿宋" w:cs="仿宋"/>
          <w:sz w:val="32"/>
          <w:szCs w:val="32"/>
        </w:rPr>
      </w:pPr>
      <w:r>
        <w:rPr>
          <w:rFonts w:ascii="仿宋" w:hAnsi="仿宋" w:eastAsia="仿宋" w:cs="仿宋"/>
          <w:sz w:val="32"/>
          <w:szCs w:val="32"/>
        </w:rPr>
        <w:t>被申请人称：</w:t>
      </w:r>
      <w:r>
        <w:rPr>
          <w:rFonts w:hint="eastAsia" w:ascii="仿宋" w:hAnsi="仿宋" w:eastAsia="仿宋" w:cs="仿宋"/>
          <w:sz w:val="32"/>
          <w:szCs w:val="32"/>
        </w:rPr>
        <w:t>2025年1月14日，</w:t>
      </w:r>
      <w:r>
        <w:rPr>
          <w:rFonts w:ascii="仿宋" w:hAnsi="仿宋" w:eastAsia="仿宋" w:cs="仿宋"/>
          <w:sz w:val="32"/>
          <w:szCs w:val="32"/>
        </w:rPr>
        <w:t>被申请人</w:t>
      </w:r>
      <w:r>
        <w:rPr>
          <w:rFonts w:hint="eastAsia" w:ascii="仿宋" w:hAnsi="仿宋" w:eastAsia="仿宋" w:cs="仿宋"/>
          <w:sz w:val="32"/>
          <w:szCs w:val="32"/>
        </w:rPr>
        <w:t>通过全国12315平台收到申请人的举报工单，被举报人为</w:t>
      </w:r>
      <w:r>
        <w:rPr>
          <w:rFonts w:hint="eastAsia" w:ascii="仿宋" w:hAnsi="仿宋" w:eastAsia="仿宋" w:cs="仿宋"/>
          <w:sz w:val="32"/>
          <w:szCs w:val="32"/>
          <w:lang w:val="en-US" w:eastAsia="zh-CN"/>
        </w:rPr>
        <w:t>某</w:t>
      </w:r>
      <w:r>
        <w:rPr>
          <w:rFonts w:hint="eastAsia" w:ascii="仿宋" w:hAnsi="仿宋" w:eastAsia="仿宋" w:cs="仿宋"/>
          <w:sz w:val="32"/>
          <w:szCs w:val="32"/>
        </w:rPr>
        <w:t>超市，申请人举报称其于2025年1月4日购买的两件双汇弹脆香脆肠（生产者：江苏</w:t>
      </w:r>
      <w:r>
        <w:rPr>
          <w:rFonts w:hint="eastAsia" w:ascii="仿宋" w:hAnsi="仿宋" w:eastAsia="仿宋" w:cs="仿宋"/>
          <w:sz w:val="32"/>
          <w:szCs w:val="32"/>
          <w:lang w:val="en-US" w:eastAsia="zh-CN"/>
        </w:rPr>
        <w:t>某</w:t>
      </w:r>
      <w:r>
        <w:rPr>
          <w:rFonts w:hint="eastAsia" w:ascii="仿宋" w:hAnsi="仿宋" w:eastAsia="仿宋" w:cs="仿宋"/>
          <w:sz w:val="32"/>
          <w:szCs w:val="32"/>
        </w:rPr>
        <w:t>食品有限公司、生产日期：20241005、保质期：90天）购买时已超出保质期2日。被举报人涉嫌销售超过保质期的食品违反了《中华人民共和国食品安全法》以及《</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消费者权益保护法》等相关法律规定，请求被申请人依法履职维护其本人合法权益，并以书面形式告知投诉举报受理及处理结果。</w:t>
      </w:r>
    </w:p>
    <w:p w14:paraId="5CCE3113">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接举报工单后，</w:t>
      </w:r>
      <w:r>
        <w:rPr>
          <w:rFonts w:ascii="仿宋" w:hAnsi="仿宋" w:eastAsia="仿宋" w:cs="仿宋"/>
          <w:sz w:val="32"/>
          <w:szCs w:val="32"/>
        </w:rPr>
        <w:t>被申请人</w:t>
      </w:r>
      <w:r>
        <w:rPr>
          <w:rFonts w:hint="eastAsia" w:ascii="仿宋" w:hAnsi="仿宋" w:eastAsia="仿宋" w:cs="仿宋"/>
          <w:sz w:val="32"/>
          <w:szCs w:val="32"/>
        </w:rPr>
        <w:t>执法人员于2025年2月6日对被举报人经营场所进行现场检查。经查，在被举报方经营场所内货架上发现双汇弹脆香脆肠（生产者：江苏</w:t>
      </w:r>
      <w:r>
        <w:rPr>
          <w:rFonts w:hint="eastAsia" w:ascii="仿宋" w:hAnsi="仿宋" w:eastAsia="仿宋" w:cs="仿宋"/>
          <w:sz w:val="32"/>
          <w:szCs w:val="32"/>
          <w:lang w:val="en-US" w:eastAsia="zh-CN"/>
        </w:rPr>
        <w:t>某</w:t>
      </w:r>
      <w:r>
        <w:rPr>
          <w:rFonts w:hint="eastAsia" w:ascii="仿宋" w:hAnsi="仿宋" w:eastAsia="仿宋" w:cs="仿宋"/>
          <w:sz w:val="32"/>
          <w:szCs w:val="32"/>
        </w:rPr>
        <w:t>食品有限公司、生产日期：20250102、保质期：90天）在售，未能发现被举报同批次商品在售。现场查阅经营场所收银系统，发现2025年1月4日20：45：48订单的交易明细（订单流水号：00246650，收款时间：2025-01-04 20：45：48，应付金额：16.00元，实付金额：16.00元），其中双汇弹脆香脆肠销售2件，销售单价5.50元，康师傅经典桶酸菜牛肉销售1件，销售单价5.00元，共计16.00元。与消费者提供的付款记录一致，且被举报人表示认可此支付凭证系在被举报人店内消费产生，但被举报人经营场所收银系统无法显示所售商品的生产日期、批次、保质期等详细信息。2025年2月13日，被申请人对被举报人进行询问并制作询问笔录，被举报人不认可销售超过保质期食品的事实并向执法人员提供了供货商营业执照、食品备案信息采集表、检测报告和进货单等材料。2025年2月19日，被申请人根据申请人在投诉举报书中留存的电子邮箱地址，依法向申请人送达了限期提供材料通知书，申请人收到文书之后至今未向被申请人提供进一步证据材料。针对申请人上述举报内容，结合现场检查情况、询问笔录内容、提取的证据材料以及申请人提供的相关材料，违法事实不能成立，不符合《市场监督管理行政处罚程序规定》第十九条第一款第一项之立案条件。经领导批准，被申请人于2025年2月28日决定不予立案。</w:t>
      </w:r>
    </w:p>
    <w:p w14:paraId="04A18603">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检测、检验、检疫、鉴定以及权利人辨认或者鉴别等所需时间，不计入前款规定期限。”相关规定，被申请人于2025年2月28日经上级领导批准决定不予立案，符合法定程序。根据《市场监督管理投诉举报处理暂行办法》第三十一条第二款“举报人实名举报的，有处理权限的市场监督管理部门还应当自作出是否立案决定之日起五个工作日内告知举报人。”之规定，被申请人于2025年2月28日通过全国12315平台告知申请人不予立案，符合法定程序。</w:t>
      </w:r>
    </w:p>
    <w:p w14:paraId="169A1907">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另查明，申请人自全国12315平台（2021新版）开通以来共投诉58次，举报47次，且数量保持增长。从其行为方式和特点来看，其目的是为了谋取利益而非生活消费，其投诉举报的目的也不具有正当性。申请人作为举报人，并非本案的行政相对人，被申请人的查处结果与申请人自身合法权益没有直接利害关系，依据《中华人民共和国行政复议法》第二条，申请人不具有行政复议的主体资格。综上所述，被申请人依法处理申请人的投诉举报，认定事实清楚，证据确凿充分，适用法律正确，裁量适当，履职正确，程序合法，不存在违法行为，恳请复议机关维持被申请人的行政处理行为。</w:t>
      </w:r>
    </w:p>
    <w:p w14:paraId="2AFDE973">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申请人提供的证据：1、全国12315举报工单、附件材料、告知截图；2、申请人在全国12315平台的投诉举报数量；3、现场检查笔录、现场检查照片、询问笔录、经营者营业执照、食品备案信息采集表、法定代表人身份证、进货</w:t>
      </w:r>
      <w:r>
        <w:rPr>
          <w:rFonts w:hint="eastAsia" w:ascii="仿宋" w:hAnsi="仿宋" w:eastAsia="仿宋" w:cs="仿宋"/>
          <w:sz w:val="32"/>
          <w:szCs w:val="32"/>
          <w:lang w:val="en-US" w:eastAsia="zh-CN"/>
        </w:rPr>
        <w:t>相关</w:t>
      </w:r>
      <w:r>
        <w:rPr>
          <w:rFonts w:hint="eastAsia" w:ascii="仿宋" w:hAnsi="仿宋" w:eastAsia="仿宋" w:cs="仿宋"/>
          <w:sz w:val="32"/>
          <w:szCs w:val="32"/>
        </w:rPr>
        <w:t>材料；4、限期提供材料通知书及电子邮箱送达截图；5、案件来源登记表、核查延期审批表、不予立案审批表。</w:t>
      </w:r>
    </w:p>
    <w:p w14:paraId="168F7A9E">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经审理查明：</w:t>
      </w:r>
    </w:p>
    <w:p w14:paraId="6086D366">
      <w:pPr>
        <w:wordWrap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2025年1月14日，申请人通过全国12315平台向被申请人举报称，其于2025年1月4日在</w:t>
      </w:r>
      <w:r>
        <w:rPr>
          <w:rFonts w:hint="eastAsia" w:ascii="仿宋" w:hAnsi="仿宋" w:eastAsia="仿宋" w:cs="仿宋"/>
          <w:sz w:val="32"/>
          <w:szCs w:val="32"/>
          <w:lang w:val="en-US" w:eastAsia="zh-CN"/>
        </w:rPr>
        <w:t>某</w:t>
      </w:r>
      <w:r>
        <w:rPr>
          <w:rFonts w:hint="eastAsia" w:ascii="仿宋" w:hAnsi="仿宋" w:eastAsia="仿宋" w:cs="仿宋"/>
          <w:sz w:val="32"/>
          <w:szCs w:val="32"/>
        </w:rPr>
        <w:t>超市购买的两件双汇弹脆香脆肠（生产者：江苏</w:t>
      </w:r>
      <w:r>
        <w:rPr>
          <w:rFonts w:hint="eastAsia" w:ascii="仿宋" w:hAnsi="仿宋" w:eastAsia="仿宋" w:cs="仿宋"/>
          <w:sz w:val="32"/>
          <w:szCs w:val="32"/>
          <w:lang w:val="en-US" w:eastAsia="zh-CN"/>
        </w:rPr>
        <w:t>某</w:t>
      </w:r>
      <w:r>
        <w:rPr>
          <w:rFonts w:hint="eastAsia" w:ascii="仿宋" w:hAnsi="仿宋" w:eastAsia="仿宋" w:cs="仿宋"/>
          <w:sz w:val="32"/>
          <w:szCs w:val="32"/>
        </w:rPr>
        <w:t>食品有限公司，生产日期：20241005，保质期：90天）</w:t>
      </w:r>
      <w:r>
        <w:rPr>
          <w:rFonts w:hint="eastAsia" w:ascii="仿宋" w:hAnsi="仿宋" w:eastAsia="仿宋" w:cs="仿宋"/>
          <w:sz w:val="32"/>
          <w:szCs w:val="32"/>
          <w:lang w:eastAsia="zh-CN"/>
        </w:rPr>
        <w:t>，</w:t>
      </w:r>
      <w:r>
        <w:rPr>
          <w:rFonts w:hint="eastAsia" w:ascii="仿宋" w:hAnsi="仿宋" w:eastAsia="仿宋" w:cs="仿宋"/>
          <w:sz w:val="32"/>
          <w:szCs w:val="32"/>
        </w:rPr>
        <w:t>在购买时已超出保质期2日。被举报人涉嫌销售超过保质期的食品违反了《中华人民共和国食品安全法》以及《中华人民共和国消费者权益保护法》等相关法律规定，请求被申请人依法履职维护其合法权益，并以书面形式告知投诉举报受理及处理结果。同日，被申请人进行案源登记。</w:t>
      </w:r>
    </w:p>
    <w:p w14:paraId="36FC8F4F">
      <w:pPr>
        <w:wordWrap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2025年2月6日，被申请人在经营者的全程陪同下对被举报人经营场所进行现场检查。经查，在被举报方经营场所内货架上发现双汇弹脆香脆肠（生产者：江苏</w:t>
      </w:r>
      <w:r>
        <w:rPr>
          <w:rFonts w:hint="eastAsia" w:ascii="仿宋" w:hAnsi="仿宋" w:eastAsia="仿宋" w:cs="仿宋"/>
          <w:sz w:val="32"/>
          <w:szCs w:val="32"/>
          <w:lang w:val="en-US" w:eastAsia="zh-CN"/>
        </w:rPr>
        <w:t>某</w:t>
      </w:r>
      <w:r>
        <w:rPr>
          <w:rFonts w:hint="eastAsia" w:ascii="仿宋" w:hAnsi="仿宋" w:eastAsia="仿宋" w:cs="仿宋"/>
          <w:sz w:val="32"/>
          <w:szCs w:val="32"/>
        </w:rPr>
        <w:t>食品有限公司，生产日期：20250102，保质期：90天）在售，未能发现被举报同批次商品在售。现场</w:t>
      </w:r>
      <w:r>
        <w:rPr>
          <w:rFonts w:hint="eastAsia" w:ascii="仿宋" w:hAnsi="仿宋" w:eastAsia="仿宋" w:cs="仿宋"/>
          <w:sz w:val="32"/>
          <w:szCs w:val="32"/>
          <w:lang w:val="en-US" w:eastAsia="zh-CN"/>
        </w:rPr>
        <w:t>调取</w:t>
      </w:r>
      <w:r>
        <w:rPr>
          <w:rFonts w:hint="eastAsia" w:ascii="仿宋" w:hAnsi="仿宋" w:eastAsia="仿宋" w:cs="仿宋"/>
          <w:sz w:val="32"/>
          <w:szCs w:val="32"/>
        </w:rPr>
        <w:t>经营场所收银系统，发现2025年1月</w:t>
      </w:r>
      <w:r>
        <w:rPr>
          <w:rFonts w:hint="eastAsia" w:ascii="仿宋" w:hAnsi="仿宋" w:eastAsia="仿宋" w:cs="仿宋"/>
          <w:sz w:val="32"/>
          <w:szCs w:val="32"/>
          <w:highlight w:val="none"/>
        </w:rPr>
        <w:t>4日20：45：48订单的交易明细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其中双汇弹脆香脆肠销售2件，销售单价5.5元，康师傅经典桶酸菜牛肉销售1件，销售单价5元，</w:t>
      </w:r>
      <w:r>
        <w:rPr>
          <w:rFonts w:hint="eastAsia" w:ascii="仿宋" w:hAnsi="仿宋" w:eastAsia="仿宋" w:cs="仿宋"/>
          <w:sz w:val="32"/>
          <w:szCs w:val="32"/>
          <w:highlight w:val="none"/>
        </w:rPr>
        <w:t>与</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rPr>
        <w:t>提供的付款记录一致，但被举报人经营场所收银系统无法显示所售商品的生产日期、批次、保质期等详细信息。</w:t>
      </w:r>
    </w:p>
    <w:p w14:paraId="1DE954BC">
      <w:pPr>
        <w:wordWrap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2025年2月7日，被申请人</w:t>
      </w:r>
      <w:r>
        <w:rPr>
          <w:rFonts w:hint="eastAsia" w:ascii="仿宋" w:hAnsi="仿宋" w:eastAsia="仿宋" w:cs="仿宋"/>
          <w:sz w:val="32"/>
          <w:szCs w:val="32"/>
          <w:highlight w:val="none"/>
        </w:rPr>
        <w:t>通过电子邮件的方式向申请人送达了《苏州市姑苏区市场监督管理局限期提供材料通知书》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申请人于邮箱回复“请以法定形式向本人调查取证。李某某2025年2月10日”。</w:t>
      </w:r>
    </w:p>
    <w:p w14:paraId="1148CD6B">
      <w:pPr>
        <w:wordWrap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2025年2月8日，</w:t>
      </w:r>
      <w:r>
        <w:rPr>
          <w:rFonts w:hint="eastAsia" w:ascii="仿宋" w:hAnsi="仿宋" w:eastAsia="仿宋" w:cs="仿宋"/>
          <w:sz w:val="32"/>
          <w:szCs w:val="32"/>
          <w:highlight w:val="none"/>
          <w:lang w:val="en-US" w:eastAsia="zh-CN"/>
        </w:rPr>
        <w:t>被申请人</w:t>
      </w:r>
      <w:r>
        <w:rPr>
          <w:rFonts w:hint="eastAsia" w:ascii="仿宋" w:hAnsi="仿宋" w:eastAsia="仿宋" w:cs="仿宋"/>
          <w:sz w:val="32"/>
          <w:szCs w:val="32"/>
          <w:highlight w:val="none"/>
        </w:rPr>
        <w:t>经审批延长立案核查期限十五个工作日。</w:t>
      </w:r>
    </w:p>
    <w:p w14:paraId="46FB0CFD">
      <w:pPr>
        <w:wordWrap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2025年2月13日，被申请人对被举报人的经营者</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rPr>
        <w:t>询问调查。</w:t>
      </w:r>
      <w:r>
        <w:rPr>
          <w:rFonts w:hint="eastAsia" w:ascii="仿宋" w:hAnsi="仿宋" w:eastAsia="仿宋" w:cs="仿宋"/>
          <w:sz w:val="32"/>
          <w:szCs w:val="32"/>
          <w:highlight w:val="none"/>
          <w:lang w:val="en-US" w:eastAsia="zh-CN"/>
        </w:rPr>
        <w:t>经营者承认于2025年1月4日向申请人出售了案涉商品双汇弹脆香脆肠，但否认案涉商品已超保质期，称自己从未进购过生产日期为20241005批次的双汇弹脆香脆肠，而是分别于2024年10月21日进购生产日期为20241010、于2025年1月10日进购生产日期为20250102，生产者均为江苏某食品有限公司的案涉商品，共计150件。此外，经营者还提供了上述两批次的检测报告、供货商营业执照和销售预包装食品销售备案表、进货记录等。</w:t>
      </w:r>
    </w:p>
    <w:p w14:paraId="7CB937C3">
      <w:pPr>
        <w:wordWrap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2025年2月19日，被申请人</w:t>
      </w:r>
      <w:r>
        <w:rPr>
          <w:rFonts w:hint="eastAsia" w:ascii="仿宋" w:hAnsi="仿宋" w:eastAsia="仿宋" w:cs="仿宋"/>
          <w:sz w:val="32"/>
          <w:szCs w:val="32"/>
          <w:highlight w:val="none"/>
          <w:lang w:val="en-US" w:eastAsia="zh-CN"/>
        </w:rPr>
        <w:t>再次</w:t>
      </w:r>
      <w:r>
        <w:rPr>
          <w:rFonts w:hint="eastAsia" w:ascii="仿宋" w:hAnsi="仿宋" w:eastAsia="仿宋" w:cs="仿宋"/>
          <w:sz w:val="32"/>
          <w:szCs w:val="32"/>
          <w:highlight w:val="none"/>
        </w:rPr>
        <w:t>通过电子邮件的方式向申请人送达了《苏州市姑苏区市场监督管理局限期提供材料通知书》。</w:t>
      </w:r>
    </w:p>
    <w:p w14:paraId="7A7762FB">
      <w:pPr>
        <w:wordWrap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2025年2月28日，被申请人</w:t>
      </w:r>
      <w:r>
        <w:rPr>
          <w:rFonts w:hint="eastAsia" w:ascii="仿宋" w:hAnsi="仿宋" w:eastAsia="仿宋" w:cs="仿宋"/>
          <w:sz w:val="32"/>
          <w:szCs w:val="32"/>
          <w:highlight w:val="none"/>
        </w:rPr>
        <w:t>经审批决定</w:t>
      </w:r>
      <w:r>
        <w:rPr>
          <w:rFonts w:ascii="仿宋" w:hAnsi="仿宋" w:eastAsia="仿宋" w:cs="仿宋"/>
          <w:sz w:val="32"/>
          <w:szCs w:val="32"/>
          <w:highlight w:val="none"/>
        </w:rPr>
        <w:t>不予</w:t>
      </w:r>
      <w:r>
        <w:rPr>
          <w:rFonts w:hint="eastAsia" w:ascii="仿宋" w:hAnsi="仿宋" w:eastAsia="仿宋" w:cs="仿宋"/>
          <w:sz w:val="32"/>
          <w:szCs w:val="32"/>
          <w:highlight w:val="none"/>
        </w:rPr>
        <w:t>立案，并将</w:t>
      </w:r>
      <w:r>
        <w:rPr>
          <w:rFonts w:ascii="仿宋" w:hAnsi="仿宋" w:eastAsia="仿宋" w:cs="仿宋"/>
          <w:sz w:val="32"/>
          <w:szCs w:val="32"/>
          <w:highlight w:val="none"/>
        </w:rPr>
        <w:t>不予</w:t>
      </w:r>
      <w:r>
        <w:rPr>
          <w:rFonts w:hint="eastAsia" w:ascii="仿宋" w:hAnsi="仿宋" w:eastAsia="仿宋" w:cs="仿宋"/>
          <w:sz w:val="32"/>
          <w:szCs w:val="32"/>
          <w:highlight w:val="none"/>
        </w:rPr>
        <w:t>立案的</w:t>
      </w:r>
      <w:r>
        <w:rPr>
          <w:rFonts w:ascii="仿宋" w:hAnsi="仿宋" w:eastAsia="仿宋" w:cs="仿宋"/>
          <w:sz w:val="32"/>
          <w:szCs w:val="32"/>
          <w:highlight w:val="none"/>
        </w:rPr>
        <w:t>决定</w:t>
      </w:r>
      <w:r>
        <w:rPr>
          <w:rFonts w:hint="eastAsia" w:ascii="仿宋" w:hAnsi="仿宋" w:eastAsia="仿宋" w:cs="仿宋"/>
          <w:sz w:val="32"/>
          <w:szCs w:val="32"/>
          <w:highlight w:val="none"/>
        </w:rPr>
        <w:t>及理由于同日通过全国12315平台短信告知申请人。</w:t>
      </w:r>
    </w:p>
    <w:p w14:paraId="321DF919">
      <w:pPr>
        <w:wordWrap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此外，申请人于2025年5月7日向复议机关提交其购买案涉商品的视频记录。</w:t>
      </w:r>
    </w:p>
    <w:p w14:paraId="6A4DC18C">
      <w:pPr>
        <w:wordWrap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以上事实有下列证据证明：1、投诉举报书；2、支付宝交易流水证明、账单</w:t>
      </w:r>
      <w:r>
        <w:rPr>
          <w:rFonts w:ascii="仿宋" w:hAnsi="仿宋" w:eastAsia="仿宋" w:cs="仿宋"/>
          <w:sz w:val="32"/>
          <w:szCs w:val="32"/>
          <w:highlight w:val="none"/>
        </w:rPr>
        <w:t>详情页截图、</w:t>
      </w:r>
      <w:r>
        <w:rPr>
          <w:rFonts w:hint="eastAsia" w:ascii="仿宋" w:hAnsi="仿宋" w:eastAsia="仿宋" w:cs="仿宋"/>
          <w:sz w:val="32"/>
          <w:szCs w:val="32"/>
          <w:highlight w:val="none"/>
        </w:rPr>
        <w:t>产品照片；3、全国12315举报工单、告知截图；</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、现场检查笔录、现场检查照片、询问笔录、经营者营业执照、食品备案信息采集表、法定代表人身份证、进货</w:t>
      </w:r>
      <w:r>
        <w:rPr>
          <w:rFonts w:hint="eastAsia" w:ascii="仿宋" w:hAnsi="仿宋" w:eastAsia="仿宋" w:cs="仿宋"/>
          <w:sz w:val="32"/>
          <w:szCs w:val="32"/>
          <w:highlight w:val="none"/>
          <w:lang w:val="en-US" w:eastAsia="zh-CN"/>
        </w:rPr>
        <w:t>相关</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、限期提供材料通知书及电子邮箱送达截图；</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、案件来源登记表、核查延期审批表、不予立案审批表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7、申请人复议期间提供的购买案涉商品的视频、邮箱回复截图；8、复议机关调取的被申请人2025年2月7日邮箱截图。</w:t>
      </w:r>
    </w:p>
    <w:p w14:paraId="3D664D65">
      <w:pPr>
        <w:wordWrap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本机关认为：</w:t>
      </w:r>
      <w:r>
        <w:rPr>
          <w:rFonts w:ascii="仿宋" w:hAnsi="仿宋" w:eastAsia="仿宋" w:cs="仿宋"/>
          <w:sz w:val="32"/>
          <w:szCs w:val="32"/>
          <w:highlight w:val="none"/>
        </w:rPr>
        <w:t xml:space="preserve"> </w:t>
      </w:r>
    </w:p>
    <w:p w14:paraId="1E0C0374">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市场监督管理投诉举报处理暂行办法》第四条第二款规定，县级以上地方市场监督管理部门负责本行政区域内的投诉举报处理工作。本案中，被申请人作为被举报人住所所在地的县级市场监督管理部门，具有对申请人的举报事项作出行政处理和答复的法定职责。</w:t>
      </w:r>
    </w:p>
    <w:p w14:paraId="781F5B5C">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本案中，经</w:t>
      </w:r>
      <w:r>
        <w:rPr>
          <w:rFonts w:hint="eastAsia" w:ascii="仿宋" w:hAnsi="仿宋" w:eastAsia="仿宋" w:cs="仿宋"/>
          <w:sz w:val="32"/>
          <w:szCs w:val="32"/>
          <w:lang w:val="en-US" w:eastAsia="zh-CN"/>
        </w:rPr>
        <w:t>被申请人</w:t>
      </w:r>
      <w:r>
        <w:rPr>
          <w:rFonts w:hint="eastAsia" w:ascii="仿宋" w:hAnsi="仿宋" w:eastAsia="仿宋" w:cs="仿宋"/>
          <w:sz w:val="32"/>
          <w:szCs w:val="32"/>
        </w:rPr>
        <w:t>现场检查，在</w:t>
      </w:r>
      <w:r>
        <w:rPr>
          <w:rFonts w:hint="eastAsia" w:eastAsia="仿宋_GB2312"/>
          <w:sz w:val="32"/>
          <w:szCs w:val="32"/>
        </w:rPr>
        <w:t>被举报人经营场所</w:t>
      </w:r>
      <w:r>
        <w:rPr>
          <w:rFonts w:hint="eastAsia" w:ascii="仿宋" w:hAnsi="仿宋" w:eastAsia="仿宋" w:cs="仿宋"/>
          <w:sz w:val="32"/>
          <w:szCs w:val="32"/>
        </w:rPr>
        <w:t>未发现被举报同批次商品在售，且被举报人向执法人员提供了供货商营业执照、食品备案信息采集表、检测报告和进货单等材料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已充分履行了进货查验义务，</w:t>
      </w:r>
      <w:r>
        <w:rPr>
          <w:rFonts w:hint="eastAsia" w:ascii="仿宋" w:hAnsi="仿宋" w:eastAsia="仿宋" w:cs="仿宋"/>
          <w:sz w:val="32"/>
          <w:szCs w:val="32"/>
        </w:rPr>
        <w:t>被举报人经营场所收银系统</w:t>
      </w:r>
      <w:r>
        <w:rPr>
          <w:rFonts w:hint="eastAsia" w:ascii="仿宋" w:hAnsi="仿宋" w:eastAsia="仿宋" w:cs="仿宋"/>
          <w:sz w:val="32"/>
          <w:szCs w:val="32"/>
          <w:lang w:val="en-US" w:eastAsia="zh-CN"/>
        </w:rPr>
        <w:t>亦</w:t>
      </w:r>
      <w:r>
        <w:rPr>
          <w:rFonts w:hint="eastAsia" w:ascii="仿宋" w:hAnsi="仿宋" w:eastAsia="仿宋" w:cs="仿宋"/>
          <w:sz w:val="32"/>
          <w:szCs w:val="32"/>
        </w:rPr>
        <w:t>无法显示</w:t>
      </w:r>
      <w:r>
        <w:rPr>
          <w:rFonts w:hint="eastAsia" w:ascii="仿宋" w:hAnsi="仿宋" w:eastAsia="仿宋" w:cs="仿宋"/>
          <w:sz w:val="32"/>
          <w:szCs w:val="32"/>
          <w:lang w:val="en-US" w:eastAsia="zh-CN"/>
        </w:rPr>
        <w:t>2025年1月4日</w:t>
      </w:r>
      <w:r>
        <w:rPr>
          <w:rFonts w:hint="eastAsia" w:ascii="仿宋" w:hAnsi="仿宋" w:eastAsia="仿宋" w:cs="仿宋"/>
          <w:sz w:val="32"/>
          <w:szCs w:val="32"/>
        </w:rPr>
        <w:t>所售商品的生产日期、批次、保质期等详细信息。</w:t>
      </w:r>
      <w:r>
        <w:rPr>
          <w:rFonts w:hint="eastAsia" w:ascii="仿宋" w:hAnsi="仿宋" w:eastAsia="仿宋" w:cs="仿宋"/>
          <w:sz w:val="32"/>
          <w:szCs w:val="32"/>
          <w:highlight w:val="none"/>
          <w:lang w:val="en-US" w:eastAsia="zh-CN"/>
        </w:rPr>
        <w:t>根据《市场监督管理行政处罚程序规定》第三十条第一款规定，“办案人员可以要求当事人及其他有关单位和个人在一定期限内提供证明材料或者与涉嫌违法行为有关的其他材料，并由材料提供人在有关材料上签名或者盖章。”该条并未对限期提供材料的形式和程序作出要求，被申请人根据案件进一步调查需要向申请人发出《</w:t>
      </w:r>
      <w:r>
        <w:rPr>
          <w:rFonts w:hint="eastAsia" w:ascii="仿宋" w:hAnsi="仿宋" w:eastAsia="仿宋" w:cs="仿宋"/>
          <w:sz w:val="32"/>
          <w:szCs w:val="32"/>
          <w:highlight w:val="none"/>
        </w:rPr>
        <w:t>限期提供材料通知书</w:t>
      </w:r>
      <w:r>
        <w:rPr>
          <w:rFonts w:hint="eastAsia" w:ascii="仿宋" w:hAnsi="仿宋" w:eastAsia="仿宋" w:cs="仿宋"/>
          <w:sz w:val="32"/>
          <w:szCs w:val="32"/>
          <w:highlight w:val="none"/>
          <w:lang w:val="en-US" w:eastAsia="zh-CN"/>
        </w:rPr>
        <w:t>》并依据申请人投诉举报书中所留电子邮箱进行电子送达，程序合法。虽然申请人在复议期间提供了从被举报人处购得生产日期为20241005的案涉商品的购买视频，但</w:t>
      </w:r>
      <w:r>
        <w:rPr>
          <w:rFonts w:hint="eastAsia" w:ascii="仿宋" w:hAnsi="仿宋" w:eastAsia="仿宋" w:cs="仿宋"/>
          <w:sz w:val="32"/>
          <w:szCs w:val="32"/>
          <w:highlight w:val="none"/>
        </w:rPr>
        <w:t>申请人未</w:t>
      </w:r>
      <w:r>
        <w:rPr>
          <w:rFonts w:hint="eastAsia" w:ascii="仿宋" w:hAnsi="仿宋" w:eastAsia="仿宋" w:cs="仿宋"/>
          <w:sz w:val="32"/>
          <w:szCs w:val="32"/>
          <w:highlight w:val="none"/>
          <w:lang w:val="en-US" w:eastAsia="zh-CN"/>
        </w:rPr>
        <w:t>能在被申请人规定时间内及时</w:t>
      </w:r>
      <w:r>
        <w:rPr>
          <w:rFonts w:hint="eastAsia" w:ascii="仿宋" w:hAnsi="仿宋" w:eastAsia="仿宋" w:cs="仿宋"/>
          <w:sz w:val="32"/>
          <w:szCs w:val="32"/>
          <w:highlight w:val="none"/>
        </w:rPr>
        <w:t>向被申请人提供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eastAsia="zh-CN"/>
        </w:rPr>
        <w:t>为维护自身权益而进行的举报，</w:t>
      </w:r>
      <w:r>
        <w:rPr>
          <w:rFonts w:hint="eastAsia" w:ascii="仿宋" w:hAnsi="仿宋" w:eastAsia="仿宋" w:cs="仿宋"/>
          <w:sz w:val="32"/>
          <w:szCs w:val="32"/>
          <w:highlight w:val="none"/>
          <w:lang w:val="en-US" w:eastAsia="zh-CN"/>
        </w:rPr>
        <w:t>需</w:t>
      </w:r>
      <w:r>
        <w:rPr>
          <w:rFonts w:hint="eastAsia" w:ascii="仿宋" w:hAnsi="仿宋" w:eastAsia="仿宋" w:cs="仿宋"/>
          <w:sz w:val="32"/>
          <w:szCs w:val="32"/>
          <w:highlight w:val="none"/>
          <w:lang w:eastAsia="zh-CN"/>
        </w:rPr>
        <w:t>如实、充分的向行政机关提供相关证据，</w:t>
      </w:r>
      <w:r>
        <w:rPr>
          <w:rFonts w:hint="eastAsia" w:ascii="仿宋" w:hAnsi="仿宋" w:eastAsia="仿宋" w:cs="仿宋"/>
          <w:sz w:val="32"/>
          <w:szCs w:val="32"/>
          <w:highlight w:val="none"/>
          <w:lang w:val="en-US" w:eastAsia="zh-CN"/>
        </w:rPr>
        <w:t>否则应自行承担逾期举证的不利后果，本机关对该视频证据不予采纳</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故</w:t>
      </w:r>
      <w:r>
        <w:rPr>
          <w:rFonts w:hint="eastAsia" w:ascii="仿宋" w:hAnsi="仿宋" w:eastAsia="仿宋" w:cs="仿宋"/>
          <w:sz w:val="32"/>
          <w:szCs w:val="32"/>
        </w:rPr>
        <w:t>结合</w:t>
      </w:r>
      <w:r>
        <w:rPr>
          <w:rFonts w:hint="eastAsia" w:ascii="仿宋" w:hAnsi="仿宋" w:eastAsia="仿宋" w:cs="仿宋"/>
          <w:sz w:val="32"/>
          <w:szCs w:val="32"/>
          <w:lang w:val="en-US" w:eastAsia="zh-CN"/>
        </w:rPr>
        <w:t>被申请人调查取证时所获的</w:t>
      </w:r>
      <w:r>
        <w:rPr>
          <w:rFonts w:hint="eastAsia" w:ascii="仿宋" w:hAnsi="仿宋" w:eastAsia="仿宋" w:cs="仿宋"/>
          <w:sz w:val="32"/>
          <w:szCs w:val="32"/>
        </w:rPr>
        <w:t>证据材料，被申请人认为违法事实不能成立，不符合《市场监督管理行政处罚程序规定》第十九条第一款第一项之立案条件，作出不予立案的决定，</w:t>
      </w:r>
      <w:r>
        <w:rPr>
          <w:rFonts w:hint="eastAsia" w:ascii="仿宋" w:hAnsi="仿宋" w:eastAsia="仿宋" w:cs="仿宋"/>
          <w:sz w:val="32"/>
          <w:szCs w:val="32"/>
          <w:lang w:val="en-US" w:eastAsia="zh-CN"/>
        </w:rPr>
        <w:t>并无不当</w:t>
      </w:r>
      <w:r>
        <w:rPr>
          <w:rFonts w:hint="eastAsia" w:ascii="仿宋" w:hAnsi="仿宋" w:eastAsia="仿宋" w:cs="仿宋"/>
          <w:sz w:val="32"/>
          <w:szCs w:val="32"/>
        </w:rPr>
        <w:t>。</w:t>
      </w:r>
    </w:p>
    <w:p w14:paraId="1A654F2E">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被申请人于2025年1月14日收到申请人的举报，于2025年2月8日经批准延长立案核查期限，于2025年2月28日作出不予立案的决定并于同日通过全国12315平台告知申请人，符合《市场监督管理行政处罚程序规定》第十八条第一款和《市场监督管理投诉举报处理暂行办法》第三十一条第二款之规定。</w:t>
      </w:r>
    </w:p>
    <w:p w14:paraId="05512DE2">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综上，根据《中华人民共和国行政复议法》第六十八条之规定，本机关决定如下：</w:t>
      </w:r>
    </w:p>
    <w:p w14:paraId="6D258DE5">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维持苏州市姑苏区市场监督管理局作出的举报不予立案决定。</w:t>
      </w:r>
    </w:p>
    <w:p w14:paraId="412F6EB3">
      <w:pPr>
        <w:widowControl/>
        <w:shd w:val="clear" w:color="auto" w:fill="FFFFFF"/>
        <w:overflowPunct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申请人如对本决定不服，可以自收到本决定书之日起15日内依法向人民法院提起行政诉讼。</w:t>
      </w:r>
    </w:p>
    <w:p w14:paraId="37BF9CF9">
      <w:pPr>
        <w:spacing w:line="560" w:lineRule="exact"/>
        <w:ind w:firstLine="640" w:firstLineChars="200"/>
        <w:jc w:val="right"/>
        <w:rPr>
          <w:rFonts w:hint="eastAsia" w:ascii="仿宋" w:hAnsi="仿宋" w:eastAsia="仿宋" w:cs="仿宋"/>
          <w:sz w:val="32"/>
          <w:szCs w:val="32"/>
        </w:rPr>
      </w:pPr>
    </w:p>
    <w:p w14:paraId="0ACAE29C">
      <w:pPr>
        <w:spacing w:line="560" w:lineRule="exact"/>
        <w:ind w:firstLine="640" w:firstLineChars="200"/>
        <w:jc w:val="right"/>
        <w:rPr>
          <w:rFonts w:hint="eastAsia" w:ascii="仿宋" w:hAnsi="仿宋" w:eastAsia="仿宋" w:cs="仿宋"/>
          <w:sz w:val="32"/>
          <w:szCs w:val="32"/>
        </w:rPr>
      </w:pPr>
    </w:p>
    <w:p w14:paraId="25E65DFF">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二〇二五年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w:t>
      </w:r>
      <w:bookmarkStart w:id="2" w:name="_GoBack"/>
      <w:bookmarkEnd w:id="2"/>
      <w:r>
        <w:rPr>
          <w:rFonts w:hint="eastAsia" w:ascii="仿宋" w:hAnsi="仿宋" w:eastAsia="仿宋" w:cs="仿宋"/>
          <w:sz w:val="32"/>
          <w:szCs w:val="32"/>
        </w:rPr>
        <w:t>日</w:t>
      </w:r>
    </w:p>
    <w:sectPr>
      <w:footerReference r:id="rId3" w:type="default"/>
      <w:pgSz w:w="11906" w:h="16838"/>
      <w:pgMar w:top="2041"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方正隶二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54AF">
    <w:pPr>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3D1303">
                          <w:pPr>
                            <w:pStyle w:val="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93D1303">
                    <w:pPr>
                      <w:pStyle w:val="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p w14:paraId="683B6ABD">
    <w:pPr>
      <w:pStyle w:val="5"/>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94c44c07-9375-44a1-97bd-003609f74277"/>
  </w:docVars>
  <w:rsids>
    <w:rsidRoot w:val="00E61681"/>
    <w:rsid w:val="00021F94"/>
    <w:rsid w:val="00023151"/>
    <w:rsid w:val="0004360F"/>
    <w:rsid w:val="000466D6"/>
    <w:rsid w:val="00046FB0"/>
    <w:rsid w:val="00050A15"/>
    <w:rsid w:val="00054D92"/>
    <w:rsid w:val="000579F1"/>
    <w:rsid w:val="000604E3"/>
    <w:rsid w:val="00061E42"/>
    <w:rsid w:val="00071A89"/>
    <w:rsid w:val="0007485A"/>
    <w:rsid w:val="000873F0"/>
    <w:rsid w:val="000904AD"/>
    <w:rsid w:val="000A18C8"/>
    <w:rsid w:val="000B5DAB"/>
    <w:rsid w:val="000D5546"/>
    <w:rsid w:val="000D6CE6"/>
    <w:rsid w:val="00120E55"/>
    <w:rsid w:val="0012670F"/>
    <w:rsid w:val="00127A16"/>
    <w:rsid w:val="001318B4"/>
    <w:rsid w:val="001473DD"/>
    <w:rsid w:val="001473F1"/>
    <w:rsid w:val="0016747A"/>
    <w:rsid w:val="0018607E"/>
    <w:rsid w:val="0018739D"/>
    <w:rsid w:val="0019178D"/>
    <w:rsid w:val="001A1DE6"/>
    <w:rsid w:val="001B0269"/>
    <w:rsid w:val="001C7B0C"/>
    <w:rsid w:val="001D455F"/>
    <w:rsid w:val="001D6D9F"/>
    <w:rsid w:val="001E79B2"/>
    <w:rsid w:val="001F5492"/>
    <w:rsid w:val="00212824"/>
    <w:rsid w:val="00213372"/>
    <w:rsid w:val="00222412"/>
    <w:rsid w:val="0022577A"/>
    <w:rsid w:val="00240D70"/>
    <w:rsid w:val="002558EE"/>
    <w:rsid w:val="002627D4"/>
    <w:rsid w:val="002B5C74"/>
    <w:rsid w:val="002B6CDF"/>
    <w:rsid w:val="002F1E9C"/>
    <w:rsid w:val="00304F75"/>
    <w:rsid w:val="003061E8"/>
    <w:rsid w:val="00306E9C"/>
    <w:rsid w:val="003254FE"/>
    <w:rsid w:val="00327BD5"/>
    <w:rsid w:val="00344345"/>
    <w:rsid w:val="0035358B"/>
    <w:rsid w:val="00354AB1"/>
    <w:rsid w:val="00355797"/>
    <w:rsid w:val="00356ACA"/>
    <w:rsid w:val="00363EA4"/>
    <w:rsid w:val="0036400D"/>
    <w:rsid w:val="0036691D"/>
    <w:rsid w:val="003752C8"/>
    <w:rsid w:val="003847E5"/>
    <w:rsid w:val="003A416F"/>
    <w:rsid w:val="003A644C"/>
    <w:rsid w:val="003C48F5"/>
    <w:rsid w:val="003D0B6A"/>
    <w:rsid w:val="003D1092"/>
    <w:rsid w:val="003E1D11"/>
    <w:rsid w:val="003F7B3D"/>
    <w:rsid w:val="004177F9"/>
    <w:rsid w:val="00426A02"/>
    <w:rsid w:val="0045478D"/>
    <w:rsid w:val="0045527C"/>
    <w:rsid w:val="00465302"/>
    <w:rsid w:val="0049696A"/>
    <w:rsid w:val="004C474C"/>
    <w:rsid w:val="004D21E5"/>
    <w:rsid w:val="004D6398"/>
    <w:rsid w:val="004E08CC"/>
    <w:rsid w:val="004E7658"/>
    <w:rsid w:val="004E7B7B"/>
    <w:rsid w:val="004F738A"/>
    <w:rsid w:val="00500A6E"/>
    <w:rsid w:val="00502A18"/>
    <w:rsid w:val="00502C81"/>
    <w:rsid w:val="005118B0"/>
    <w:rsid w:val="00531865"/>
    <w:rsid w:val="0054016B"/>
    <w:rsid w:val="00544C52"/>
    <w:rsid w:val="00546D13"/>
    <w:rsid w:val="005562DE"/>
    <w:rsid w:val="00557C77"/>
    <w:rsid w:val="00597104"/>
    <w:rsid w:val="005A7844"/>
    <w:rsid w:val="005D107F"/>
    <w:rsid w:val="005F029B"/>
    <w:rsid w:val="005F1B30"/>
    <w:rsid w:val="005F7BDB"/>
    <w:rsid w:val="00600F10"/>
    <w:rsid w:val="00602702"/>
    <w:rsid w:val="00620DD9"/>
    <w:rsid w:val="006210DE"/>
    <w:rsid w:val="00623DCE"/>
    <w:rsid w:val="00633F2F"/>
    <w:rsid w:val="00646DC1"/>
    <w:rsid w:val="00650B23"/>
    <w:rsid w:val="00654F4B"/>
    <w:rsid w:val="00661121"/>
    <w:rsid w:val="00694368"/>
    <w:rsid w:val="006B46FF"/>
    <w:rsid w:val="006C610C"/>
    <w:rsid w:val="006C6C03"/>
    <w:rsid w:val="006E0AB4"/>
    <w:rsid w:val="006E2C45"/>
    <w:rsid w:val="00717685"/>
    <w:rsid w:val="00732498"/>
    <w:rsid w:val="00742F8B"/>
    <w:rsid w:val="00746960"/>
    <w:rsid w:val="00760DDB"/>
    <w:rsid w:val="00764FF6"/>
    <w:rsid w:val="007734E2"/>
    <w:rsid w:val="00775F69"/>
    <w:rsid w:val="00777220"/>
    <w:rsid w:val="00781644"/>
    <w:rsid w:val="00784AA7"/>
    <w:rsid w:val="0078696B"/>
    <w:rsid w:val="00794919"/>
    <w:rsid w:val="007A5EA2"/>
    <w:rsid w:val="007C5C52"/>
    <w:rsid w:val="007D2D41"/>
    <w:rsid w:val="007E6B75"/>
    <w:rsid w:val="007E7C79"/>
    <w:rsid w:val="00800DEE"/>
    <w:rsid w:val="00824D36"/>
    <w:rsid w:val="008545D8"/>
    <w:rsid w:val="00857675"/>
    <w:rsid w:val="0086062B"/>
    <w:rsid w:val="00862BFA"/>
    <w:rsid w:val="008746FE"/>
    <w:rsid w:val="00877CD3"/>
    <w:rsid w:val="00882BEE"/>
    <w:rsid w:val="008A18D6"/>
    <w:rsid w:val="008A25A2"/>
    <w:rsid w:val="008F589E"/>
    <w:rsid w:val="00907AB7"/>
    <w:rsid w:val="0091555C"/>
    <w:rsid w:val="00940962"/>
    <w:rsid w:val="009439B2"/>
    <w:rsid w:val="0097323A"/>
    <w:rsid w:val="00984293"/>
    <w:rsid w:val="00985EE4"/>
    <w:rsid w:val="009A43A1"/>
    <w:rsid w:val="009D5CF2"/>
    <w:rsid w:val="009D67CB"/>
    <w:rsid w:val="009E0952"/>
    <w:rsid w:val="009E3B05"/>
    <w:rsid w:val="009E4285"/>
    <w:rsid w:val="00A0485C"/>
    <w:rsid w:val="00A13258"/>
    <w:rsid w:val="00A24CFD"/>
    <w:rsid w:val="00A300DD"/>
    <w:rsid w:val="00A37771"/>
    <w:rsid w:val="00A41808"/>
    <w:rsid w:val="00A64F81"/>
    <w:rsid w:val="00A65DB2"/>
    <w:rsid w:val="00A6614B"/>
    <w:rsid w:val="00A70AFD"/>
    <w:rsid w:val="00A85367"/>
    <w:rsid w:val="00A86F16"/>
    <w:rsid w:val="00A90729"/>
    <w:rsid w:val="00A9094C"/>
    <w:rsid w:val="00A923AC"/>
    <w:rsid w:val="00AA700F"/>
    <w:rsid w:val="00AC3BEB"/>
    <w:rsid w:val="00AD40F1"/>
    <w:rsid w:val="00B21DE8"/>
    <w:rsid w:val="00B422BA"/>
    <w:rsid w:val="00B426FA"/>
    <w:rsid w:val="00B56D1D"/>
    <w:rsid w:val="00B717DE"/>
    <w:rsid w:val="00B7260F"/>
    <w:rsid w:val="00B87C86"/>
    <w:rsid w:val="00BB2278"/>
    <w:rsid w:val="00BB5A2F"/>
    <w:rsid w:val="00BD3AA5"/>
    <w:rsid w:val="00BD41FD"/>
    <w:rsid w:val="00BD716F"/>
    <w:rsid w:val="00BE272C"/>
    <w:rsid w:val="00BF78F0"/>
    <w:rsid w:val="00C25F24"/>
    <w:rsid w:val="00C43820"/>
    <w:rsid w:val="00C43B1C"/>
    <w:rsid w:val="00C46EBB"/>
    <w:rsid w:val="00C6283B"/>
    <w:rsid w:val="00C83075"/>
    <w:rsid w:val="00C85E84"/>
    <w:rsid w:val="00C96E23"/>
    <w:rsid w:val="00CC486C"/>
    <w:rsid w:val="00CD4CBF"/>
    <w:rsid w:val="00CE1F0B"/>
    <w:rsid w:val="00D422D9"/>
    <w:rsid w:val="00D50390"/>
    <w:rsid w:val="00D5499E"/>
    <w:rsid w:val="00D72775"/>
    <w:rsid w:val="00D734E8"/>
    <w:rsid w:val="00D90F1D"/>
    <w:rsid w:val="00D96EBC"/>
    <w:rsid w:val="00DB35E3"/>
    <w:rsid w:val="00DB4FD7"/>
    <w:rsid w:val="00DD2BAD"/>
    <w:rsid w:val="00DE3F11"/>
    <w:rsid w:val="00DE6EF2"/>
    <w:rsid w:val="00E229FF"/>
    <w:rsid w:val="00E4130F"/>
    <w:rsid w:val="00E61681"/>
    <w:rsid w:val="00E95432"/>
    <w:rsid w:val="00EC3A17"/>
    <w:rsid w:val="00EF0FBD"/>
    <w:rsid w:val="00EF571E"/>
    <w:rsid w:val="00F12819"/>
    <w:rsid w:val="00F234FF"/>
    <w:rsid w:val="00F25CED"/>
    <w:rsid w:val="00F3501E"/>
    <w:rsid w:val="00F428BE"/>
    <w:rsid w:val="00F60C03"/>
    <w:rsid w:val="00F77734"/>
    <w:rsid w:val="00F90B1F"/>
    <w:rsid w:val="00FA3D67"/>
    <w:rsid w:val="00FA4514"/>
    <w:rsid w:val="00FA47B6"/>
    <w:rsid w:val="00FB2B16"/>
    <w:rsid w:val="00FB688F"/>
    <w:rsid w:val="00FE4C24"/>
    <w:rsid w:val="027715A0"/>
    <w:rsid w:val="02DF39F5"/>
    <w:rsid w:val="02DF57A3"/>
    <w:rsid w:val="03395C06"/>
    <w:rsid w:val="03F4527E"/>
    <w:rsid w:val="04D72BD5"/>
    <w:rsid w:val="05536615"/>
    <w:rsid w:val="07434552"/>
    <w:rsid w:val="07941252"/>
    <w:rsid w:val="07A50D69"/>
    <w:rsid w:val="07C5140B"/>
    <w:rsid w:val="0837738D"/>
    <w:rsid w:val="087F780C"/>
    <w:rsid w:val="09602823"/>
    <w:rsid w:val="0A6C3DC0"/>
    <w:rsid w:val="0B1A381C"/>
    <w:rsid w:val="0BC3033A"/>
    <w:rsid w:val="0CA35A93"/>
    <w:rsid w:val="0DC02C8D"/>
    <w:rsid w:val="10463305"/>
    <w:rsid w:val="113118BF"/>
    <w:rsid w:val="12132094"/>
    <w:rsid w:val="121A67F7"/>
    <w:rsid w:val="133438E9"/>
    <w:rsid w:val="13750189"/>
    <w:rsid w:val="13936861"/>
    <w:rsid w:val="13BA5B9C"/>
    <w:rsid w:val="143040B0"/>
    <w:rsid w:val="156758B0"/>
    <w:rsid w:val="157C24EA"/>
    <w:rsid w:val="157E66A6"/>
    <w:rsid w:val="15A703A2"/>
    <w:rsid w:val="15EC2259"/>
    <w:rsid w:val="16070068"/>
    <w:rsid w:val="16C84A74"/>
    <w:rsid w:val="16EA4D3E"/>
    <w:rsid w:val="176D38BE"/>
    <w:rsid w:val="17991F6C"/>
    <w:rsid w:val="17B45238"/>
    <w:rsid w:val="17F43647"/>
    <w:rsid w:val="1A3348FA"/>
    <w:rsid w:val="1B9201BC"/>
    <w:rsid w:val="1BCF1B6C"/>
    <w:rsid w:val="1C6A2129"/>
    <w:rsid w:val="1C817B9F"/>
    <w:rsid w:val="1D750D86"/>
    <w:rsid w:val="1DCC4DD2"/>
    <w:rsid w:val="1E306D20"/>
    <w:rsid w:val="1E501ECE"/>
    <w:rsid w:val="1EBF050A"/>
    <w:rsid w:val="1EF65EF6"/>
    <w:rsid w:val="2034023F"/>
    <w:rsid w:val="20A57BD4"/>
    <w:rsid w:val="21B7665F"/>
    <w:rsid w:val="22602004"/>
    <w:rsid w:val="228F28EA"/>
    <w:rsid w:val="22CF7CC0"/>
    <w:rsid w:val="243878F9"/>
    <w:rsid w:val="24975A86"/>
    <w:rsid w:val="24F544A0"/>
    <w:rsid w:val="25755DF3"/>
    <w:rsid w:val="25761B3F"/>
    <w:rsid w:val="25D16D75"/>
    <w:rsid w:val="26284BE7"/>
    <w:rsid w:val="26D13E71"/>
    <w:rsid w:val="26EC20B9"/>
    <w:rsid w:val="275F0ADD"/>
    <w:rsid w:val="277D71B5"/>
    <w:rsid w:val="2832107C"/>
    <w:rsid w:val="28A8200F"/>
    <w:rsid w:val="28DE0127"/>
    <w:rsid w:val="294863F4"/>
    <w:rsid w:val="29F01EC0"/>
    <w:rsid w:val="2A9A007E"/>
    <w:rsid w:val="2BDD2887"/>
    <w:rsid w:val="2C1A3224"/>
    <w:rsid w:val="2CA415F7"/>
    <w:rsid w:val="2CD64945"/>
    <w:rsid w:val="2D144117"/>
    <w:rsid w:val="2D40759D"/>
    <w:rsid w:val="2D8356F1"/>
    <w:rsid w:val="2DA54BE7"/>
    <w:rsid w:val="2DC609EF"/>
    <w:rsid w:val="2F0C331C"/>
    <w:rsid w:val="2FA95D26"/>
    <w:rsid w:val="30AC4667"/>
    <w:rsid w:val="314B405E"/>
    <w:rsid w:val="31A63085"/>
    <w:rsid w:val="31B73E0A"/>
    <w:rsid w:val="322C71A2"/>
    <w:rsid w:val="32B90411"/>
    <w:rsid w:val="33016EEC"/>
    <w:rsid w:val="33301D0B"/>
    <w:rsid w:val="342015F4"/>
    <w:rsid w:val="342A3A20"/>
    <w:rsid w:val="34945B3E"/>
    <w:rsid w:val="34E1079D"/>
    <w:rsid w:val="34FD7B87"/>
    <w:rsid w:val="36A77DAA"/>
    <w:rsid w:val="37377380"/>
    <w:rsid w:val="37813E56"/>
    <w:rsid w:val="398E6FFF"/>
    <w:rsid w:val="39DE1D35"/>
    <w:rsid w:val="3AEC66D3"/>
    <w:rsid w:val="3BF94620"/>
    <w:rsid w:val="3BFF6555"/>
    <w:rsid w:val="3C8B7826"/>
    <w:rsid w:val="3CEA4E04"/>
    <w:rsid w:val="3D1604CE"/>
    <w:rsid w:val="3D986A99"/>
    <w:rsid w:val="3E3C527C"/>
    <w:rsid w:val="3E3D0734"/>
    <w:rsid w:val="3E4F33A1"/>
    <w:rsid w:val="3EAB2402"/>
    <w:rsid w:val="3F0D6C18"/>
    <w:rsid w:val="3FBE37A3"/>
    <w:rsid w:val="3FC71432"/>
    <w:rsid w:val="406F051B"/>
    <w:rsid w:val="40A35A86"/>
    <w:rsid w:val="40B44B68"/>
    <w:rsid w:val="40E35E83"/>
    <w:rsid w:val="411B0F0E"/>
    <w:rsid w:val="41920F50"/>
    <w:rsid w:val="41D34149"/>
    <w:rsid w:val="42B775C7"/>
    <w:rsid w:val="42C61427"/>
    <w:rsid w:val="434150E2"/>
    <w:rsid w:val="434E0039"/>
    <w:rsid w:val="43BD6FA1"/>
    <w:rsid w:val="43BE6733"/>
    <w:rsid w:val="43E02B4D"/>
    <w:rsid w:val="44710ED3"/>
    <w:rsid w:val="44782D86"/>
    <w:rsid w:val="44DD5BC1"/>
    <w:rsid w:val="45E35E94"/>
    <w:rsid w:val="46424462"/>
    <w:rsid w:val="46DA7D28"/>
    <w:rsid w:val="470153BD"/>
    <w:rsid w:val="4743767B"/>
    <w:rsid w:val="478F6E5A"/>
    <w:rsid w:val="482E20D9"/>
    <w:rsid w:val="48AA10D3"/>
    <w:rsid w:val="490B63E4"/>
    <w:rsid w:val="49CB1BAA"/>
    <w:rsid w:val="49FB53CB"/>
    <w:rsid w:val="4B643EDA"/>
    <w:rsid w:val="4B9344DE"/>
    <w:rsid w:val="4BF21670"/>
    <w:rsid w:val="4C661644"/>
    <w:rsid w:val="4C912C37"/>
    <w:rsid w:val="4D46299A"/>
    <w:rsid w:val="4E720846"/>
    <w:rsid w:val="4FD86DCF"/>
    <w:rsid w:val="501C6CBB"/>
    <w:rsid w:val="50C80BE8"/>
    <w:rsid w:val="50C92B17"/>
    <w:rsid w:val="524B3888"/>
    <w:rsid w:val="529C148F"/>
    <w:rsid w:val="52AB0E03"/>
    <w:rsid w:val="52E15F9A"/>
    <w:rsid w:val="53732373"/>
    <w:rsid w:val="540B24DF"/>
    <w:rsid w:val="547F00D0"/>
    <w:rsid w:val="55376345"/>
    <w:rsid w:val="55B87486"/>
    <w:rsid w:val="562D6300"/>
    <w:rsid w:val="56630BCA"/>
    <w:rsid w:val="567349DC"/>
    <w:rsid w:val="56B476CF"/>
    <w:rsid w:val="571E5A0F"/>
    <w:rsid w:val="57362589"/>
    <w:rsid w:val="5818420C"/>
    <w:rsid w:val="58256929"/>
    <w:rsid w:val="58A1488C"/>
    <w:rsid w:val="5ADE63F2"/>
    <w:rsid w:val="5B296730"/>
    <w:rsid w:val="5B835E40"/>
    <w:rsid w:val="5D0C394B"/>
    <w:rsid w:val="5D152C9F"/>
    <w:rsid w:val="5D795A4C"/>
    <w:rsid w:val="5D7C523D"/>
    <w:rsid w:val="5E2C27BF"/>
    <w:rsid w:val="5E744166"/>
    <w:rsid w:val="5E7E6D93"/>
    <w:rsid w:val="5E9345EC"/>
    <w:rsid w:val="5EA24952"/>
    <w:rsid w:val="5F0C25F1"/>
    <w:rsid w:val="60373B64"/>
    <w:rsid w:val="606A5CFC"/>
    <w:rsid w:val="609A1581"/>
    <w:rsid w:val="61294A77"/>
    <w:rsid w:val="61AD07EF"/>
    <w:rsid w:val="621E0F64"/>
    <w:rsid w:val="62703EA0"/>
    <w:rsid w:val="637C7D45"/>
    <w:rsid w:val="646507D9"/>
    <w:rsid w:val="6562596F"/>
    <w:rsid w:val="65841133"/>
    <w:rsid w:val="65D57BE0"/>
    <w:rsid w:val="65F16E9A"/>
    <w:rsid w:val="6645031C"/>
    <w:rsid w:val="666D7E19"/>
    <w:rsid w:val="66E16111"/>
    <w:rsid w:val="673C04DC"/>
    <w:rsid w:val="676E7F4F"/>
    <w:rsid w:val="677156E7"/>
    <w:rsid w:val="68437083"/>
    <w:rsid w:val="697E3C4B"/>
    <w:rsid w:val="69BB673C"/>
    <w:rsid w:val="6A7833B8"/>
    <w:rsid w:val="6AD00976"/>
    <w:rsid w:val="6B827EC3"/>
    <w:rsid w:val="6B9B0F84"/>
    <w:rsid w:val="6BCA43AC"/>
    <w:rsid w:val="6BD6020E"/>
    <w:rsid w:val="6E510020"/>
    <w:rsid w:val="6ED07197"/>
    <w:rsid w:val="6F537CDF"/>
    <w:rsid w:val="6FBD3BBF"/>
    <w:rsid w:val="6FC767EC"/>
    <w:rsid w:val="70235E7F"/>
    <w:rsid w:val="702F613F"/>
    <w:rsid w:val="706E4EB9"/>
    <w:rsid w:val="70975B8A"/>
    <w:rsid w:val="71600CA6"/>
    <w:rsid w:val="7208065B"/>
    <w:rsid w:val="722C0B88"/>
    <w:rsid w:val="72345C8F"/>
    <w:rsid w:val="72874010"/>
    <w:rsid w:val="739104AD"/>
    <w:rsid w:val="743106D8"/>
    <w:rsid w:val="74493C73"/>
    <w:rsid w:val="75063912"/>
    <w:rsid w:val="751167B5"/>
    <w:rsid w:val="75355FA6"/>
    <w:rsid w:val="76F854DD"/>
    <w:rsid w:val="775070C7"/>
    <w:rsid w:val="775A6197"/>
    <w:rsid w:val="77CB4ADD"/>
    <w:rsid w:val="791D747D"/>
    <w:rsid w:val="79295E21"/>
    <w:rsid w:val="792B2493"/>
    <w:rsid w:val="79C8563A"/>
    <w:rsid w:val="7BDC53CD"/>
    <w:rsid w:val="7C466CEA"/>
    <w:rsid w:val="7C492337"/>
    <w:rsid w:val="7C844CA8"/>
    <w:rsid w:val="7CB974BC"/>
    <w:rsid w:val="7DD16A88"/>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semiHidden/>
    <w:qFormat/>
    <w:uiPriority w:val="0"/>
    <w:rPr>
      <w:rFonts w:ascii="宋体" w:hAnsi="宋体" w:eastAsia="宋体" w:cs="宋体"/>
      <w:sz w:val="27"/>
      <w:szCs w:val="27"/>
      <w:lang w:eastAsia="en-US"/>
    </w:rPr>
  </w:style>
  <w:style w:type="paragraph" w:styleId="4">
    <w:name w:val="Balloon Text"/>
    <w:basedOn w:val="1"/>
    <w:link w:val="13"/>
    <w:qFormat/>
    <w:uiPriority w:val="0"/>
    <w:rPr>
      <w:rFonts w:ascii="宋体" w:eastAsia="宋体"/>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2"/>
    <w:next w:val="2"/>
    <w:link w:val="17"/>
    <w:qFormat/>
    <w:uiPriority w:val="0"/>
    <w:rPr>
      <w:b/>
      <w:bCs/>
    </w:rPr>
  </w:style>
  <w:style w:type="character" w:styleId="12">
    <w:name w:val="annotation reference"/>
    <w:basedOn w:val="11"/>
    <w:qFormat/>
    <w:uiPriority w:val="0"/>
    <w:rPr>
      <w:sz w:val="21"/>
      <w:szCs w:val="21"/>
    </w:rPr>
  </w:style>
  <w:style w:type="character" w:customStyle="1" w:styleId="13">
    <w:name w:val="批注框文本 Char"/>
    <w:basedOn w:val="11"/>
    <w:link w:val="4"/>
    <w:qFormat/>
    <w:uiPriority w:val="0"/>
    <w:rPr>
      <w:rFonts w:ascii="宋体" w:hAnsiTheme="minorHAnsi" w:cstheme="minorBidi"/>
      <w:kern w:val="2"/>
      <w:sz w:val="18"/>
      <w:szCs w:val="18"/>
    </w:rPr>
  </w:style>
  <w:style w:type="paragraph" w:customStyle="1" w:styleId="14">
    <w:name w:val="Table Text"/>
    <w:basedOn w:val="1"/>
    <w:semiHidden/>
    <w:qFormat/>
    <w:uiPriority w:val="0"/>
    <w:rPr>
      <w:rFonts w:ascii="宋体" w:hAnsi="宋体" w:eastAsia="宋体" w:cs="宋体"/>
      <w:sz w:val="25"/>
      <w:szCs w:val="25"/>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批注文字 Char"/>
    <w:basedOn w:val="11"/>
    <w:link w:val="2"/>
    <w:qFormat/>
    <w:uiPriority w:val="0"/>
    <w:rPr>
      <w:rFonts w:asciiTheme="minorHAnsi" w:hAnsiTheme="minorHAnsi" w:eastAsiaTheme="minorEastAsia" w:cstheme="minorBidi"/>
      <w:kern w:val="2"/>
      <w:sz w:val="21"/>
      <w:szCs w:val="22"/>
    </w:rPr>
  </w:style>
  <w:style w:type="character" w:customStyle="1" w:styleId="17">
    <w:name w:val="批注主题 Char"/>
    <w:basedOn w:val="16"/>
    <w:link w:val="9"/>
    <w:qFormat/>
    <w:uiPriority w:val="0"/>
    <w:rPr>
      <w:rFonts w:asciiTheme="minorHAnsi" w:hAnsiTheme="minorHAnsi" w:eastAsiaTheme="minorEastAsia" w:cstheme="minorBidi"/>
      <w:b/>
      <w:bCs/>
      <w:kern w:val="2"/>
      <w:sz w:val="21"/>
      <w:szCs w:val="22"/>
    </w:rPr>
  </w:style>
  <w:style w:type="character" w:customStyle="1" w:styleId="18">
    <w:name w:val="页眉 Char"/>
    <w:basedOn w:val="11"/>
    <w:link w:val="6"/>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5246</Words>
  <Characters>5576</Characters>
  <Lines>36</Lines>
  <Paragraphs>10</Paragraphs>
  <TotalTime>17</TotalTime>
  <ScaleCrop>false</ScaleCrop>
  <LinksUpToDate>false</LinksUpToDate>
  <CharactersWithSpaces>5578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2025-04-25T03:30:00Z</dcterms:created>
  <dc:creator>VIP-001</dc:creator>
  <cp:lastModifiedBy>admin</cp:lastModifiedBy>
  <cp:lastPrinted>2024-12-03T02:47:00Z</cp:lastPrinted>
  <dcterms:modified xsi:type="dcterms:W3CDTF">2025-12-04T03:19:46Z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5C8CBED45CB94CC08D7E60AFD21A83DD</vt:lpwstr>
  </property>
</Properties>
</file>